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Heading1"/>
        <w:jc w:val="center"/>
        <w:rPr>
          <w:rFonts w:ascii="Arial"/>
        </w:rPr>
      </w:pPr>
      <w:r>
        <w:rPr>
          <w:rFonts w:ascii="Arial"/>
          <w:spacing w:val="-2"/>
        </w:rPr>
        <w:t>NYILATKOZAT</w:t>
      </w:r>
    </w:p>
    <w:p>
      <w:pPr>
        <w:spacing w:line="309" w:lineRule="auto" w:before="50"/>
        <w:ind w:left="404" w:right="167" w:firstLine="0"/>
        <w:jc w:val="center"/>
        <w:rPr>
          <w:rFonts w:ascii="Arial MT" w:hAnsi="Arial MT"/>
          <w:sz w:val="24"/>
        </w:rPr>
      </w:pPr>
      <w:r>
        <w:rPr>
          <w:rFonts w:ascii="Arial MT" w:hAnsi="Arial MT"/>
          <w:sz w:val="24"/>
        </w:rPr>
        <w:t>a</w:t>
      </w:r>
      <w:r>
        <w:rPr>
          <w:rFonts w:ascii="Arial MT" w:hAnsi="Arial MT"/>
          <w:spacing w:val="-17"/>
          <w:sz w:val="24"/>
        </w:rPr>
        <w:t> </w:t>
      </w:r>
      <w:r>
        <w:rPr>
          <w:rFonts w:ascii="Arial MT" w:hAnsi="Arial MT"/>
          <w:sz w:val="24"/>
        </w:rPr>
        <w:t>munkaviszony</w:t>
      </w:r>
      <w:r>
        <w:rPr>
          <w:rFonts w:ascii="Arial MT" w:hAnsi="Arial MT"/>
          <w:spacing w:val="-17"/>
          <w:sz w:val="24"/>
        </w:rPr>
        <w:t> </w:t>
      </w:r>
      <w:r>
        <w:rPr>
          <w:rFonts w:ascii="Arial MT" w:hAnsi="Arial MT"/>
          <w:sz w:val="24"/>
        </w:rPr>
        <w:t>létesítésekor</w:t>
      </w:r>
      <w:r>
        <w:rPr>
          <w:rFonts w:ascii="Arial MT" w:hAnsi="Arial MT"/>
          <w:spacing w:val="-16"/>
          <w:sz w:val="24"/>
        </w:rPr>
        <w:t> </w:t>
      </w:r>
      <w:r>
        <w:rPr>
          <w:rFonts w:ascii="Arial MT" w:hAnsi="Arial MT"/>
          <w:sz w:val="24"/>
        </w:rPr>
        <w:t>a</w:t>
      </w:r>
      <w:r>
        <w:rPr>
          <w:rFonts w:ascii="Arial MT" w:hAnsi="Arial MT"/>
          <w:spacing w:val="-17"/>
          <w:sz w:val="24"/>
        </w:rPr>
        <w:t> </w:t>
      </w:r>
      <w:r>
        <w:rPr>
          <w:rFonts w:ascii="Arial MT" w:hAnsi="Arial MT"/>
          <w:sz w:val="24"/>
          <w:u w:val="single"/>
        </w:rPr>
        <w:t>tartozás</w:t>
      </w:r>
      <w:r>
        <w:rPr>
          <w:rFonts w:ascii="Arial MT" w:hAnsi="Arial MT"/>
          <w:spacing w:val="-17"/>
          <w:sz w:val="24"/>
          <w:u w:val="single"/>
        </w:rPr>
        <w:t> </w:t>
      </w:r>
      <w:r>
        <w:rPr>
          <w:rFonts w:ascii="Arial MT" w:hAnsi="Arial MT"/>
          <w:sz w:val="24"/>
          <w:u w:val="single"/>
        </w:rPr>
        <w:t>összegéről</w:t>
      </w:r>
      <w:r>
        <w:rPr>
          <w:rFonts w:ascii="Arial MT" w:hAnsi="Arial MT"/>
          <w:sz w:val="24"/>
        </w:rPr>
        <w:t>,</w:t>
      </w:r>
      <w:r>
        <w:rPr>
          <w:rFonts w:ascii="Arial MT" w:hAnsi="Arial MT"/>
          <w:spacing w:val="-17"/>
          <w:sz w:val="24"/>
        </w:rPr>
        <w:t> </w:t>
      </w:r>
      <w:r>
        <w:rPr>
          <w:rFonts w:ascii="Arial MT" w:hAnsi="Arial MT"/>
          <w:sz w:val="24"/>
        </w:rPr>
        <w:t>ha</w:t>
      </w:r>
      <w:r>
        <w:rPr>
          <w:rFonts w:ascii="Arial MT" w:hAnsi="Arial MT"/>
          <w:spacing w:val="-16"/>
          <w:sz w:val="24"/>
        </w:rPr>
        <w:t> </w:t>
      </w:r>
      <w:r>
        <w:rPr>
          <w:rFonts w:ascii="Arial MT" w:hAnsi="Arial MT"/>
          <w:sz w:val="24"/>
        </w:rPr>
        <w:t>a</w:t>
      </w:r>
      <w:r>
        <w:rPr>
          <w:rFonts w:ascii="Arial MT" w:hAnsi="Arial MT"/>
          <w:spacing w:val="-17"/>
          <w:sz w:val="24"/>
        </w:rPr>
        <w:t> </w:t>
      </w:r>
      <w:r>
        <w:rPr>
          <w:rFonts w:ascii="Arial MT" w:hAnsi="Arial MT"/>
          <w:sz w:val="24"/>
        </w:rPr>
        <w:t>dolgozó tartozásigazolást nem adott át</w:t>
      </w:r>
    </w:p>
    <w:p>
      <w:pPr>
        <w:spacing w:line="312" w:lineRule="exact" w:before="0"/>
        <w:ind w:left="356" w:right="0" w:firstLine="0"/>
        <w:jc w:val="left"/>
        <w:rPr>
          <w:sz w:val="28"/>
        </w:rPr>
      </w:pPr>
      <w:r>
        <w:rPr>
          <w:spacing w:val="-2"/>
          <w:sz w:val="28"/>
        </w:rPr>
        <w:t>Alulírott:</w:t>
      </w:r>
    </w:p>
    <w:p>
      <w:pPr>
        <w:pStyle w:val="BodyText"/>
        <w:rPr>
          <w:sz w:val="28"/>
        </w:rPr>
      </w:pPr>
    </w:p>
    <w:p>
      <w:pPr>
        <w:tabs>
          <w:tab w:pos="5325" w:val="left" w:leader="dot"/>
        </w:tabs>
        <w:spacing w:before="0"/>
        <w:ind w:left="356" w:right="0" w:firstLine="0"/>
        <w:jc w:val="left"/>
        <w:rPr>
          <w:sz w:val="28"/>
        </w:rPr>
      </w:pPr>
      <w:r>
        <w:rPr>
          <w:spacing w:val="-10"/>
          <w:sz w:val="28"/>
        </w:rPr>
        <w:t>…</w:t>
      </w:r>
      <w:r>
        <w:rPr>
          <w:sz w:val="28"/>
        </w:rPr>
        <w:tab/>
        <w:t>(a</w:t>
      </w:r>
      <w:r>
        <w:rPr>
          <w:spacing w:val="-9"/>
          <w:sz w:val="28"/>
        </w:rPr>
        <w:t> </w:t>
      </w:r>
      <w:r>
        <w:rPr>
          <w:sz w:val="28"/>
        </w:rPr>
        <w:t>munkavállaló</w:t>
      </w:r>
      <w:r>
        <w:rPr>
          <w:spacing w:val="-6"/>
          <w:sz w:val="28"/>
        </w:rPr>
        <w:t> </w:t>
      </w:r>
      <w:r>
        <w:rPr>
          <w:spacing w:val="-2"/>
          <w:sz w:val="28"/>
        </w:rPr>
        <w:t>neve)</w:t>
      </w:r>
    </w:p>
    <w:p>
      <w:pPr>
        <w:pStyle w:val="BodyText"/>
        <w:rPr>
          <w:sz w:val="28"/>
        </w:rPr>
      </w:pPr>
    </w:p>
    <w:p>
      <w:pPr>
        <w:tabs>
          <w:tab w:pos="5327" w:val="left" w:leader="dot"/>
        </w:tabs>
        <w:spacing w:before="1"/>
        <w:ind w:left="356" w:right="0" w:firstLine="0"/>
        <w:jc w:val="left"/>
        <w:rPr>
          <w:sz w:val="28"/>
        </w:rPr>
      </w:pPr>
      <w:r>
        <w:rPr>
          <w:spacing w:val="-10"/>
          <w:sz w:val="28"/>
        </w:rPr>
        <w:t>…</w:t>
      </w:r>
      <w:r>
        <w:rPr>
          <w:sz w:val="28"/>
        </w:rPr>
        <w:tab/>
        <w:t>(anyja</w:t>
      </w:r>
      <w:r>
        <w:rPr>
          <w:spacing w:val="-5"/>
          <w:sz w:val="28"/>
        </w:rPr>
        <w:t> </w:t>
      </w:r>
      <w:r>
        <w:rPr>
          <w:spacing w:val="-2"/>
          <w:sz w:val="28"/>
        </w:rPr>
        <w:t>neve)</w:t>
      </w:r>
    </w:p>
    <w:p>
      <w:pPr>
        <w:pStyle w:val="BodyText"/>
        <w:rPr>
          <w:sz w:val="28"/>
        </w:rPr>
      </w:pPr>
    </w:p>
    <w:p>
      <w:pPr>
        <w:tabs>
          <w:tab w:pos="5325" w:val="left" w:leader="dot"/>
        </w:tabs>
        <w:spacing w:before="0"/>
        <w:ind w:left="356" w:right="0" w:firstLine="0"/>
        <w:jc w:val="left"/>
        <w:rPr>
          <w:sz w:val="28"/>
        </w:rPr>
      </w:pPr>
      <w:r>
        <w:rPr>
          <w:spacing w:val="-10"/>
          <w:sz w:val="28"/>
        </w:rPr>
        <w:t>…</w:t>
      </w:r>
      <w:r>
        <w:rPr>
          <w:sz w:val="28"/>
        </w:rPr>
        <w:tab/>
      </w:r>
      <w:r>
        <w:rPr>
          <w:spacing w:val="-2"/>
          <w:sz w:val="28"/>
        </w:rPr>
        <w:t>(lakcíme)</w:t>
      </w:r>
    </w:p>
    <w:p>
      <w:pPr>
        <w:pStyle w:val="Heading1"/>
        <w:spacing w:before="86"/>
        <w:ind w:left="356"/>
      </w:pPr>
      <w:r>
        <w:rPr/>
        <w:t>az</w:t>
      </w:r>
      <w:r>
        <w:rPr>
          <w:spacing w:val="-6"/>
        </w:rPr>
        <w:t> </w:t>
      </w:r>
      <w:r>
        <w:rPr/>
        <w:t>alábbi</w:t>
      </w:r>
      <w:r>
        <w:rPr>
          <w:spacing w:val="-2"/>
        </w:rPr>
        <w:t> </w:t>
      </w:r>
      <w:r>
        <w:rPr/>
        <w:t>nyilatkozatot</w:t>
      </w:r>
      <w:r>
        <w:rPr>
          <w:spacing w:val="-5"/>
        </w:rPr>
        <w:t> </w:t>
      </w:r>
      <w:r>
        <w:rPr/>
        <w:t>teszem</w:t>
      </w:r>
      <w:r>
        <w:rPr>
          <w:spacing w:val="-3"/>
        </w:rPr>
        <w:t> </w:t>
      </w:r>
      <w:r>
        <w:rPr/>
        <w:t>a</w:t>
      </w:r>
      <w:r>
        <w:rPr>
          <w:spacing w:val="-1"/>
        </w:rPr>
        <w:t> </w:t>
      </w:r>
      <w:r>
        <w:rPr/>
        <w:t>munkáltató</w:t>
      </w:r>
      <w:r>
        <w:rPr>
          <w:spacing w:val="-3"/>
        </w:rPr>
        <w:t> </w:t>
      </w:r>
      <w:r>
        <w:rPr/>
        <w:t>egyidejű</w:t>
      </w:r>
      <w:r>
        <w:rPr>
          <w:spacing w:val="-3"/>
        </w:rPr>
        <w:t> </w:t>
      </w:r>
      <w:r>
        <w:rPr/>
        <w:t>tájékoztatását</w:t>
      </w:r>
      <w:r>
        <w:rPr>
          <w:spacing w:val="-2"/>
        </w:rPr>
        <w:t> követően:</w:t>
      </w:r>
    </w:p>
    <w:p>
      <w:pPr>
        <w:spacing w:before="100"/>
        <w:ind w:left="4129" w:right="0" w:firstLine="0"/>
        <w:jc w:val="left"/>
        <w:rPr>
          <w:b/>
          <w:sz w:val="22"/>
        </w:rPr>
      </w:pPr>
      <w:r>
        <w:rPr>
          <w:b/>
          <w:spacing w:val="-2"/>
          <w:sz w:val="22"/>
          <w:u w:val="single"/>
        </w:rPr>
        <w:t>Tájékoztatás:</w:t>
      </w:r>
    </w:p>
    <w:p>
      <w:pPr>
        <w:pStyle w:val="BodyText"/>
        <w:spacing w:line="295" w:lineRule="auto" w:before="97"/>
        <w:ind w:left="116" w:right="116" w:firstLine="240"/>
        <w:jc w:val="both"/>
      </w:pPr>
      <w:r>
        <w:rPr/>
        <w:t>Az 1994. évi LIII. törvény a bírósági végrehajtásról az új munkaviszonyt létesítő dolgozóval kapcsolatban a megköveteli az új munkáltatótól, hogy az</w:t>
      </w:r>
      <w:r>
        <w:rPr>
          <w:spacing w:val="-14"/>
        </w:rPr>
        <w:t> </w:t>
      </w:r>
      <w:r>
        <w:rPr/>
        <w:t>új dolgozótól elkérje, átvegye és folytassa az előző munkahelyén elkezdett és még be nem fejezett letiltást (tartozáslevonást), melyről a volt munkáltató az igazolást kiállította. Az új munkáltató köteles ilyen igazolás hiánya esetén az új dolgozótól nyilatkozat kérni, mely szerint ilyen igazolása az előző munkahelyéről nincs és nem tud tartozásról, melyet az új munkáltatónál a béréből le kellene vonnia.</w:t>
      </w:r>
    </w:p>
    <w:p>
      <w:pPr>
        <w:pStyle w:val="BodyText"/>
        <w:spacing w:line="292" w:lineRule="auto" w:before="39"/>
        <w:ind w:left="116" w:right="116" w:firstLine="240"/>
        <w:jc w:val="both"/>
      </w:pPr>
      <w:r>
        <w:rPr>
          <w:b/>
        </w:rPr>
        <w:t>78. §</w:t>
      </w:r>
      <w:r>
        <w:rPr>
          <w:b/>
          <w:spacing w:val="-1"/>
        </w:rPr>
        <w:t> </w:t>
      </w:r>
      <w:r>
        <w:rPr/>
        <w:t>(1) A munkáltató köteles az adós részére a munkaviszony megszűnésekor olyan igazolást kiállítani, amely</w:t>
      </w:r>
      <w:r>
        <w:rPr>
          <w:spacing w:val="-3"/>
        </w:rPr>
        <w:t> </w:t>
      </w:r>
      <w:r>
        <w:rPr/>
        <w:t>feltünteti,</w:t>
      </w:r>
      <w:r>
        <w:rPr>
          <w:spacing w:val="-2"/>
        </w:rPr>
        <w:t> </w:t>
      </w:r>
      <w:r>
        <w:rPr/>
        <w:t>hogy</w:t>
      </w:r>
      <w:r>
        <w:rPr>
          <w:spacing w:val="-3"/>
        </w:rPr>
        <w:t> </w:t>
      </w:r>
      <w:r>
        <w:rPr/>
        <w:t>a munkabérből milyen tartozásokat, milyen határozat vagy</w:t>
      </w:r>
      <w:r>
        <w:rPr>
          <w:spacing w:val="-2"/>
        </w:rPr>
        <w:t> </w:t>
      </w:r>
      <w:r>
        <w:rPr/>
        <w:t>jogszabály alapján, kinek a részére kell levonni.</w:t>
      </w:r>
    </w:p>
    <w:p>
      <w:pPr>
        <w:pStyle w:val="ListParagraph"/>
        <w:numPr>
          <w:ilvl w:val="0"/>
          <w:numId w:val="1"/>
        </w:numPr>
        <w:tabs>
          <w:tab w:pos="668" w:val="left" w:leader="none"/>
        </w:tabs>
        <w:spacing w:line="240" w:lineRule="auto" w:before="49" w:after="0"/>
        <w:ind w:left="668" w:right="0" w:hanging="312"/>
        <w:jc w:val="both"/>
        <w:rPr>
          <w:sz w:val="22"/>
        </w:rPr>
      </w:pPr>
      <w:r>
        <w:rPr>
          <w:sz w:val="22"/>
        </w:rPr>
        <w:t>Igazolást</w:t>
      </w:r>
      <w:r>
        <w:rPr>
          <w:spacing w:val="-6"/>
          <w:sz w:val="22"/>
        </w:rPr>
        <w:t> </w:t>
      </w:r>
      <w:r>
        <w:rPr>
          <w:sz w:val="22"/>
        </w:rPr>
        <w:t>kell</w:t>
      </w:r>
      <w:r>
        <w:rPr>
          <w:spacing w:val="-3"/>
          <w:sz w:val="22"/>
        </w:rPr>
        <w:t> </w:t>
      </w:r>
      <w:r>
        <w:rPr>
          <w:sz w:val="22"/>
        </w:rPr>
        <w:t>adni</w:t>
      </w:r>
      <w:r>
        <w:rPr>
          <w:spacing w:val="-5"/>
          <w:sz w:val="22"/>
        </w:rPr>
        <w:t> </w:t>
      </w:r>
      <w:r>
        <w:rPr>
          <w:sz w:val="22"/>
        </w:rPr>
        <w:t>arról</w:t>
      </w:r>
      <w:r>
        <w:rPr>
          <w:spacing w:val="-6"/>
          <w:sz w:val="22"/>
        </w:rPr>
        <w:t> </w:t>
      </w:r>
      <w:r>
        <w:rPr>
          <w:sz w:val="22"/>
        </w:rPr>
        <w:t>is,</w:t>
      </w:r>
      <w:r>
        <w:rPr>
          <w:spacing w:val="-4"/>
          <w:sz w:val="22"/>
        </w:rPr>
        <w:t> </w:t>
      </w:r>
      <w:r>
        <w:rPr>
          <w:sz w:val="22"/>
        </w:rPr>
        <w:t>hogy</w:t>
      </w:r>
      <w:r>
        <w:rPr>
          <w:spacing w:val="-7"/>
          <w:sz w:val="22"/>
        </w:rPr>
        <w:t> </w:t>
      </w:r>
      <w:r>
        <w:rPr>
          <w:sz w:val="22"/>
        </w:rPr>
        <w:t>a</w:t>
      </w:r>
      <w:r>
        <w:rPr>
          <w:spacing w:val="-4"/>
          <w:sz w:val="22"/>
        </w:rPr>
        <w:t> </w:t>
      </w:r>
      <w:r>
        <w:rPr>
          <w:sz w:val="22"/>
        </w:rPr>
        <w:t>munkavállalónak</w:t>
      </w:r>
      <w:r>
        <w:rPr>
          <w:spacing w:val="-6"/>
          <w:sz w:val="22"/>
        </w:rPr>
        <w:t> </w:t>
      </w:r>
      <w:r>
        <w:rPr>
          <w:sz w:val="22"/>
        </w:rPr>
        <w:t>az</w:t>
      </w:r>
      <w:r>
        <w:rPr>
          <w:spacing w:val="-6"/>
          <w:sz w:val="22"/>
        </w:rPr>
        <w:t> </w:t>
      </w:r>
      <w:r>
        <w:rPr>
          <w:sz w:val="22"/>
        </w:rPr>
        <w:t>(1)</w:t>
      </w:r>
      <w:r>
        <w:rPr>
          <w:spacing w:val="-4"/>
          <w:sz w:val="22"/>
        </w:rPr>
        <w:t> </w:t>
      </w:r>
      <w:r>
        <w:rPr>
          <w:sz w:val="22"/>
        </w:rPr>
        <w:t>bekezdésben</w:t>
      </w:r>
      <w:r>
        <w:rPr>
          <w:spacing w:val="-3"/>
          <w:sz w:val="22"/>
        </w:rPr>
        <w:t> </w:t>
      </w:r>
      <w:r>
        <w:rPr>
          <w:sz w:val="22"/>
        </w:rPr>
        <w:t>említett</w:t>
      </w:r>
      <w:r>
        <w:rPr>
          <w:spacing w:val="-4"/>
          <w:sz w:val="22"/>
        </w:rPr>
        <w:t> </w:t>
      </w:r>
      <w:r>
        <w:rPr>
          <w:sz w:val="22"/>
        </w:rPr>
        <w:t>tartozása</w:t>
      </w:r>
      <w:r>
        <w:rPr>
          <w:spacing w:val="-3"/>
          <w:sz w:val="22"/>
        </w:rPr>
        <w:t> </w:t>
      </w:r>
      <w:r>
        <w:rPr>
          <w:spacing w:val="-2"/>
          <w:sz w:val="22"/>
        </w:rPr>
        <w:t>nincs.</w:t>
      </w:r>
    </w:p>
    <w:p>
      <w:pPr>
        <w:pStyle w:val="ListParagraph"/>
        <w:numPr>
          <w:ilvl w:val="0"/>
          <w:numId w:val="1"/>
        </w:numPr>
        <w:tabs>
          <w:tab w:pos="685" w:val="left" w:leader="none"/>
        </w:tabs>
        <w:spacing w:line="292" w:lineRule="auto" w:before="102" w:after="0"/>
        <w:ind w:left="116" w:right="120" w:firstLine="240"/>
        <w:jc w:val="both"/>
        <w:rPr>
          <w:sz w:val="22"/>
        </w:rPr>
      </w:pPr>
      <w:r>
        <w:rPr>
          <w:sz w:val="22"/>
        </w:rPr>
        <w:t>Ha az adós (munkavállaló) újabb munkaviszonyt létesít, köteles a tartozásigazolást a munkába lépése előtt az új munkáltatójának átadni.</w:t>
      </w:r>
    </w:p>
    <w:p>
      <w:pPr>
        <w:pStyle w:val="ListParagraph"/>
        <w:numPr>
          <w:ilvl w:val="0"/>
          <w:numId w:val="1"/>
        </w:numPr>
        <w:tabs>
          <w:tab w:pos="614" w:val="left" w:leader="none"/>
        </w:tabs>
        <w:spacing w:line="295" w:lineRule="auto" w:before="46" w:after="0"/>
        <w:ind w:left="116" w:right="116" w:firstLine="240"/>
        <w:jc w:val="both"/>
        <w:rPr>
          <w:sz w:val="22"/>
        </w:rPr>
      </w:pPr>
      <w:hyperlink r:id="rId5">
        <w:r>
          <w:rPr>
            <w:b/>
            <w:sz w:val="22"/>
            <w:u w:val="single"/>
            <w:vertAlign w:val="superscript"/>
          </w:rPr>
          <w:t>280</w:t>
        </w:r>
      </w:hyperlink>
      <w:r>
        <w:rPr>
          <w:b/>
          <w:sz w:val="22"/>
          <w:vertAlign w:val="baseline"/>
        </w:rPr>
        <w:t> </w:t>
      </w:r>
      <w:r>
        <w:rPr>
          <w:sz w:val="22"/>
          <w:vertAlign w:val="baseline"/>
        </w:rPr>
        <w:t>Az új munkáltató köteles a tartozásigazolást az adóstól (munkavállalótól) bekérni és a végrehajtást folytatni. Tartozásigazolás hiányáról az adós (munkavállaló) a munkaviszony létesítése előtt köteles nyilatkozatot tenni.</w:t>
      </w:r>
    </w:p>
    <w:p>
      <w:pPr>
        <w:spacing w:line="311" w:lineRule="exact" w:before="0"/>
        <w:ind w:left="234" w:right="233" w:firstLine="0"/>
        <w:jc w:val="center"/>
        <w:rPr>
          <w:b/>
          <w:sz w:val="28"/>
        </w:rPr>
      </w:pPr>
      <w:r>
        <w:rPr>
          <w:b/>
          <w:sz w:val="28"/>
          <w:u w:val="single"/>
        </w:rPr>
        <w:t>A</w:t>
      </w:r>
      <w:r>
        <w:rPr>
          <w:b/>
          <w:spacing w:val="-1"/>
          <w:sz w:val="28"/>
          <w:u w:val="single"/>
        </w:rPr>
        <w:t> </w:t>
      </w:r>
      <w:r>
        <w:rPr>
          <w:b/>
          <w:spacing w:val="-2"/>
          <w:sz w:val="28"/>
          <w:u w:val="single"/>
        </w:rPr>
        <w:t>nyilatkozat:</w:t>
      </w:r>
    </w:p>
    <w:p>
      <w:pPr>
        <w:spacing w:line="259" w:lineRule="auto" w:before="182"/>
        <w:ind w:left="116" w:right="118" w:firstLine="0"/>
        <w:jc w:val="both"/>
        <w:rPr>
          <w:b/>
          <w:sz w:val="28"/>
        </w:rPr>
      </w:pPr>
      <w:r>
        <w:rPr>
          <w:sz w:val="28"/>
        </w:rPr>
        <w:t>Alulírott a munkáltatói tájékoztatást elolvastam és megértettem. Nyilatkozom, hogy a volt munkáltatóm által kiállított tartozásigazolást nem tudom átadni. Nyilatkozom, hogy a </w:t>
      </w:r>
      <w:r>
        <w:rPr>
          <w:b/>
          <w:sz w:val="28"/>
          <w:u w:val="single"/>
        </w:rPr>
        <w:t>mai napon az alábbi tartozásom áll fenn:</w:t>
      </w:r>
    </w:p>
    <w:p>
      <w:pPr>
        <w:pStyle w:val="BodyText"/>
        <w:spacing w:before="0"/>
        <w:rPr>
          <w:b/>
          <w:sz w:val="28"/>
        </w:rPr>
      </w:pPr>
    </w:p>
    <w:p>
      <w:pPr>
        <w:pStyle w:val="BodyText"/>
        <w:spacing w:before="19"/>
        <w:rPr>
          <w:b/>
          <w:sz w:val="28"/>
        </w:rPr>
      </w:pPr>
    </w:p>
    <w:p>
      <w:pPr>
        <w:spacing w:line="384" w:lineRule="auto" w:before="1"/>
        <w:ind w:left="116" w:right="0" w:firstLine="0"/>
        <w:jc w:val="left"/>
        <w:rPr>
          <w:b/>
          <w:sz w:val="28"/>
        </w:rPr>
      </w:pPr>
      <w:r>
        <w:rPr>
          <w:spacing w:val="-2"/>
          <w:sz w:val="28"/>
        </w:rPr>
        <w:t>………………</w:t>
      </w:r>
      <w:r>
        <w:rPr>
          <w:b/>
          <w:spacing w:val="-2"/>
          <w:sz w:val="28"/>
        </w:rPr>
        <w:t>……………………………………………………………………. </w:t>
      </w:r>
      <w:r>
        <w:rPr>
          <w:b/>
          <w:sz w:val="28"/>
        </w:rPr>
        <w:t>Pécs, ……………………….</w:t>
      </w:r>
    </w:p>
    <w:p>
      <w:pPr>
        <w:pStyle w:val="BodyText"/>
        <w:spacing w:before="0"/>
        <w:rPr>
          <w:b/>
          <w:sz w:val="20"/>
        </w:rPr>
      </w:pPr>
    </w:p>
    <w:p>
      <w:pPr>
        <w:pStyle w:val="BodyText"/>
        <w:spacing w:before="19"/>
        <w:rPr>
          <w:b/>
          <w:sz w:val="20"/>
        </w:rPr>
      </w:pPr>
      <w:r>
        <w:rPr/>
        <mc:AlternateContent>
          <mc:Choice Requires="wps">
            <w:drawing>
              <wp:anchor distT="0" distB="0" distL="0" distR="0" allowOverlap="1" layoutInCell="1" locked="0" behindDoc="1" simplePos="0" relativeHeight="487587840">
                <wp:simplePos x="0" y="0"/>
                <wp:positionH relativeFrom="page">
                  <wp:posOffset>4735957</wp:posOffset>
                </wp:positionH>
                <wp:positionV relativeFrom="paragraph">
                  <wp:posOffset>173357</wp:posOffset>
                </wp:positionV>
                <wp:extent cx="1918970" cy="6350"/>
                <wp:effectExtent l="0" t="0" r="0" b="0"/>
                <wp:wrapTopAndBottom/>
                <wp:docPr id="1" name="Graphic 1"/>
                <wp:cNvGraphicFramePr>
                  <a:graphicFrameLocks/>
                </wp:cNvGraphicFramePr>
                <a:graphic>
                  <a:graphicData uri="http://schemas.microsoft.com/office/word/2010/wordprocessingShape">
                    <wps:wsp>
                      <wps:cNvPr id="1" name="Graphic 1"/>
                      <wps:cNvSpPr/>
                      <wps:spPr>
                        <a:xfrm>
                          <a:off x="0" y="0"/>
                          <a:ext cx="1918970" cy="6350"/>
                        </a:xfrm>
                        <a:custGeom>
                          <a:avLst/>
                          <a:gdLst/>
                          <a:ahLst/>
                          <a:cxnLst/>
                          <a:rect l="l" t="t" r="r" b="b"/>
                          <a:pathLst>
                            <a:path w="1918970" h="6350">
                              <a:moveTo>
                                <a:pt x="1918969" y="0"/>
                              </a:moveTo>
                              <a:lnTo>
                                <a:pt x="0" y="0"/>
                              </a:lnTo>
                              <a:lnTo>
                                <a:pt x="0" y="6095"/>
                              </a:lnTo>
                              <a:lnTo>
                                <a:pt x="1918969" y="6095"/>
                              </a:lnTo>
                              <a:lnTo>
                                <a:pt x="191896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372.910004pt;margin-top:13.650229pt;width:151.1pt;height:.47998pt;mso-position-horizontal-relative:page;mso-position-vertical-relative:paragraph;z-index:-15728640;mso-wrap-distance-left:0;mso-wrap-distance-right:0" id="docshape1" filled="true" fillcolor="#000000" stroked="false">
                <v:fill type="solid"/>
                <w10:wrap type="topAndBottom"/>
              </v:rect>
            </w:pict>
          </mc:Fallback>
        </mc:AlternateContent>
      </w:r>
    </w:p>
    <w:p>
      <w:pPr>
        <w:spacing w:before="0"/>
        <w:ind w:left="6602" w:right="0" w:firstLine="146"/>
        <w:jc w:val="left"/>
        <w:rPr>
          <w:b/>
          <w:sz w:val="28"/>
        </w:rPr>
      </w:pPr>
      <w:r>
        <w:rPr>
          <w:b/>
          <w:sz w:val="28"/>
        </w:rPr>
        <w:t>a munkavállaló nyilatkozatot</w:t>
      </w:r>
      <w:r>
        <w:rPr>
          <w:b/>
          <w:spacing w:val="-18"/>
          <w:sz w:val="28"/>
        </w:rPr>
        <w:t> </w:t>
      </w:r>
      <w:r>
        <w:rPr>
          <w:b/>
          <w:sz w:val="28"/>
        </w:rPr>
        <w:t>tevő</w:t>
      </w:r>
    </w:p>
    <w:sectPr>
      <w:type w:val="continuous"/>
      <w:pgSz w:w="11910" w:h="16840"/>
      <w:pgMar w:top="1360" w:bottom="2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Arial">
    <w:altName w:val="Arial"/>
    <w:charset w:val="1"/>
    <w:family w:val="swiss"/>
    <w:pitch w:val="variable"/>
  </w:font>
  <w:font w:name="Arial MT">
    <w:altName w:val="Arial MT"/>
    <w:charset w:val="1"/>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2"/>
      <w:numFmt w:val="decimal"/>
      <w:lvlText w:val="(%1)"/>
      <w:lvlJc w:val="left"/>
      <w:pPr>
        <w:ind w:left="670" w:hanging="314"/>
        <w:jc w:val="left"/>
      </w:pPr>
      <w:rPr>
        <w:rFonts w:hint="default" w:ascii="Times New Roman" w:hAnsi="Times New Roman" w:eastAsia="Times New Roman" w:cs="Times New Roman"/>
        <w:b w:val="0"/>
        <w:bCs w:val="0"/>
        <w:i w:val="0"/>
        <w:iCs w:val="0"/>
        <w:spacing w:val="0"/>
        <w:w w:val="92"/>
        <w:sz w:val="22"/>
        <w:szCs w:val="22"/>
        <w:lang w:val="hu-HU" w:eastAsia="en-US" w:bidi="ar-SA"/>
      </w:rPr>
    </w:lvl>
    <w:lvl w:ilvl="1">
      <w:start w:val="0"/>
      <w:numFmt w:val="bullet"/>
      <w:lvlText w:val="•"/>
      <w:lvlJc w:val="left"/>
      <w:pPr>
        <w:ind w:left="1542" w:hanging="314"/>
      </w:pPr>
      <w:rPr>
        <w:rFonts w:hint="default"/>
        <w:lang w:val="hu-HU" w:eastAsia="en-US" w:bidi="ar-SA"/>
      </w:rPr>
    </w:lvl>
    <w:lvl w:ilvl="2">
      <w:start w:val="0"/>
      <w:numFmt w:val="bullet"/>
      <w:lvlText w:val="•"/>
      <w:lvlJc w:val="left"/>
      <w:pPr>
        <w:ind w:left="2405" w:hanging="314"/>
      </w:pPr>
      <w:rPr>
        <w:rFonts w:hint="default"/>
        <w:lang w:val="hu-HU" w:eastAsia="en-US" w:bidi="ar-SA"/>
      </w:rPr>
    </w:lvl>
    <w:lvl w:ilvl="3">
      <w:start w:val="0"/>
      <w:numFmt w:val="bullet"/>
      <w:lvlText w:val="•"/>
      <w:lvlJc w:val="left"/>
      <w:pPr>
        <w:ind w:left="3267" w:hanging="314"/>
      </w:pPr>
      <w:rPr>
        <w:rFonts w:hint="default"/>
        <w:lang w:val="hu-HU" w:eastAsia="en-US" w:bidi="ar-SA"/>
      </w:rPr>
    </w:lvl>
    <w:lvl w:ilvl="4">
      <w:start w:val="0"/>
      <w:numFmt w:val="bullet"/>
      <w:lvlText w:val="•"/>
      <w:lvlJc w:val="left"/>
      <w:pPr>
        <w:ind w:left="4130" w:hanging="314"/>
      </w:pPr>
      <w:rPr>
        <w:rFonts w:hint="default"/>
        <w:lang w:val="hu-HU" w:eastAsia="en-US" w:bidi="ar-SA"/>
      </w:rPr>
    </w:lvl>
    <w:lvl w:ilvl="5">
      <w:start w:val="0"/>
      <w:numFmt w:val="bullet"/>
      <w:lvlText w:val="•"/>
      <w:lvlJc w:val="left"/>
      <w:pPr>
        <w:ind w:left="4993" w:hanging="314"/>
      </w:pPr>
      <w:rPr>
        <w:rFonts w:hint="default"/>
        <w:lang w:val="hu-HU" w:eastAsia="en-US" w:bidi="ar-SA"/>
      </w:rPr>
    </w:lvl>
    <w:lvl w:ilvl="6">
      <w:start w:val="0"/>
      <w:numFmt w:val="bullet"/>
      <w:lvlText w:val="•"/>
      <w:lvlJc w:val="left"/>
      <w:pPr>
        <w:ind w:left="5855" w:hanging="314"/>
      </w:pPr>
      <w:rPr>
        <w:rFonts w:hint="default"/>
        <w:lang w:val="hu-HU" w:eastAsia="en-US" w:bidi="ar-SA"/>
      </w:rPr>
    </w:lvl>
    <w:lvl w:ilvl="7">
      <w:start w:val="0"/>
      <w:numFmt w:val="bullet"/>
      <w:lvlText w:val="•"/>
      <w:lvlJc w:val="left"/>
      <w:pPr>
        <w:ind w:left="6718" w:hanging="314"/>
      </w:pPr>
      <w:rPr>
        <w:rFonts w:hint="default"/>
        <w:lang w:val="hu-HU" w:eastAsia="en-US" w:bidi="ar-SA"/>
      </w:rPr>
    </w:lvl>
    <w:lvl w:ilvl="8">
      <w:start w:val="0"/>
      <w:numFmt w:val="bullet"/>
      <w:lvlText w:val="•"/>
      <w:lvlJc w:val="left"/>
      <w:pPr>
        <w:ind w:left="7581" w:hanging="314"/>
      </w:pPr>
      <w:rPr>
        <w:rFonts w:hint="default"/>
        <w:lang w:val="hu-HU"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hu-HU" w:eastAsia="en-US" w:bidi="ar-SA"/>
    </w:rPr>
  </w:style>
  <w:style w:styleId="BodyText" w:type="paragraph">
    <w:name w:val="Body Text"/>
    <w:basedOn w:val="Normal"/>
    <w:uiPriority w:val="1"/>
    <w:qFormat/>
    <w:pPr>
      <w:spacing w:before="90"/>
    </w:pPr>
    <w:rPr>
      <w:rFonts w:ascii="Times New Roman" w:hAnsi="Times New Roman" w:eastAsia="Times New Roman" w:cs="Times New Roman"/>
      <w:sz w:val="22"/>
      <w:szCs w:val="22"/>
      <w:lang w:val="hu-HU" w:eastAsia="en-US" w:bidi="ar-SA"/>
    </w:rPr>
  </w:style>
  <w:style w:styleId="Heading1" w:type="paragraph">
    <w:name w:val="Heading 1"/>
    <w:basedOn w:val="Normal"/>
    <w:uiPriority w:val="1"/>
    <w:qFormat/>
    <w:pPr>
      <w:spacing w:before="69"/>
      <w:ind w:left="234"/>
      <w:outlineLvl w:val="1"/>
    </w:pPr>
    <w:rPr>
      <w:rFonts w:ascii="Times New Roman" w:hAnsi="Times New Roman" w:eastAsia="Times New Roman" w:cs="Times New Roman"/>
      <w:b/>
      <w:bCs/>
      <w:sz w:val="24"/>
      <w:szCs w:val="24"/>
      <w:lang w:val="hu-HU" w:eastAsia="en-US" w:bidi="ar-SA"/>
    </w:rPr>
  </w:style>
  <w:style w:styleId="ListParagraph" w:type="paragraph">
    <w:name w:val="List Paragraph"/>
    <w:basedOn w:val="Normal"/>
    <w:uiPriority w:val="1"/>
    <w:qFormat/>
    <w:pPr>
      <w:spacing w:before="46"/>
      <w:ind w:left="116" w:firstLine="240"/>
      <w:jc w:val="both"/>
    </w:pPr>
    <w:rPr>
      <w:rFonts w:ascii="Times New Roman" w:hAnsi="Times New Roman" w:eastAsia="Times New Roman" w:cs="Times New Roman"/>
      <w:lang w:val="hu-HU" w:eastAsia="en-US" w:bidi="ar-SA"/>
    </w:rPr>
  </w:style>
  <w:style w:styleId="TableParagraph" w:type="paragraph">
    <w:name w:val="Table Paragraph"/>
    <w:basedOn w:val="Normal"/>
    <w:uiPriority w:val="1"/>
    <w:qFormat/>
    <w:pPr/>
    <w:rPr>
      <w:lang w:val="hu-HU"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s://optijus.hu/optijus/lawtext/1-99400053.TV#sup280"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Pannonlargo Office</dc:creator>
  <dcterms:created xsi:type="dcterms:W3CDTF">2024-01-29T15:02:52Z</dcterms:created>
  <dcterms:modified xsi:type="dcterms:W3CDTF">2024-01-29T15:02:52Z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2018-10-09T00:00:00Z</vt:filetime>
  </property>
  <property fmtid="{D5CDD505-2E9C-101B-9397-08002B2CF9AE}" pid="3" name="Creator">
    <vt:lpwstr>Microsoft® Word 2016</vt:lpwstr>
  </property>
  <property fmtid="{D5CDD505-2E9C-101B-9397-08002B2CF9AE}" pid="4" name="LastSaved">
    <vt:filetime>2024-01-29T00:00:00Z</vt:filetime>
  </property>
  <property fmtid="{D5CDD505-2E9C-101B-9397-08002B2CF9AE}" pid="5" name="Producer">
    <vt:lpwstr>Microsoft® Word 2016</vt:lpwstr>
  </property>
</Properties>
</file>